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5D4BF6">
              <w:rPr>
                <w:b/>
                <w:bCs/>
              </w:rPr>
              <w:t>7.031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311" cy="1136074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311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5D4BF6" w:rsidP="000925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80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5D4BF6" w:rsidP="0009258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162</w:t>
            </w:r>
            <w:r w:rsidR="0009258C"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5D4BF6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14</w:t>
            </w:r>
            <w:r w:rsidR="0009258C">
              <w:rPr>
                <w:bCs/>
                <w:lang w:val="en-US"/>
              </w:rPr>
              <w:t>80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09258C" w:rsidRDefault="005D4BF6" w:rsidP="005D4BF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200; 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5</w:t>
            </w:r>
            <w:r w:rsidR="0009258C">
              <w:rPr>
                <w:bCs/>
                <w:lang w:val="en-US"/>
              </w:rPr>
              <w:t>00</w:t>
            </w:r>
            <w:proofErr w:type="gramStart"/>
            <w:r w:rsidR="0009258C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;</w:t>
            </w:r>
            <w:proofErr w:type="gramEnd"/>
            <w:r>
              <w:rPr>
                <w:bCs/>
              </w:rPr>
              <w:t xml:space="preserve"> 25</w:t>
            </w:r>
            <w:r w:rsidR="0009258C">
              <w:rPr>
                <w:bCs/>
              </w:rPr>
              <w:t xml:space="preserve">00 ; </w:t>
            </w:r>
            <w:r>
              <w:rPr>
                <w:bCs/>
              </w:rPr>
              <w:t>40</w:t>
            </w:r>
            <w:r w:rsidR="0009258C">
              <w:rPr>
                <w:bCs/>
              </w:rPr>
              <w:t>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 xml:space="preserve">щиной не мение15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6407D8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927A70">
              <w:rPr>
                <w:bCs/>
              </w:rPr>
              <w:t>16</w:t>
            </w:r>
            <w:r w:rsidR="00DD4C3E" w:rsidRPr="00DD4C3E">
              <w:rPr>
                <w:bCs/>
              </w:rPr>
              <w:t>шт. клееного деревянного  бруса, сечением не менее 1</w:t>
            </w:r>
            <w:r w:rsidR="00927A70">
              <w:rPr>
                <w:bCs/>
              </w:rPr>
              <w:t>20х12</w:t>
            </w:r>
            <w:r w:rsidR="00DD4C3E" w:rsidRPr="00DD4C3E">
              <w:rPr>
                <w:bCs/>
              </w:rPr>
              <w:t>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92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 xml:space="preserve">Снизу столбы должны оканчиваться металлическими </w:t>
            </w:r>
            <w:r w:rsidR="00927A70">
              <w:rPr>
                <w:bCs/>
              </w:rPr>
              <w:t>закладными</w:t>
            </w:r>
            <w:r w:rsidRPr="00DD4C3E">
              <w:rPr>
                <w:bCs/>
              </w:rPr>
              <w:t xml:space="preserve"> выполненным </w:t>
            </w:r>
            <w:r w:rsidR="005157D7">
              <w:rPr>
                <w:bCs/>
              </w:rPr>
              <w:t>трубы сечением не менее 60х6</w:t>
            </w:r>
            <w:r w:rsidR="00927A70">
              <w:rPr>
                <w:bCs/>
              </w:rPr>
              <w:t xml:space="preserve">0 мм, </w:t>
            </w:r>
            <w:r w:rsidRPr="00DD4C3E">
              <w:rPr>
                <w:bCs/>
              </w:rPr>
              <w:t xml:space="preserve">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92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</w:t>
            </w:r>
            <w:r w:rsidR="00DC2ED3">
              <w:t xml:space="preserve"> </w:t>
            </w:r>
            <w:r w:rsidR="00927A70">
              <w:t>8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 w:rsidR="00927A70">
              <w:t>менее 18 мм, площадью не менее 2</w:t>
            </w:r>
            <w:r w:rsidRPr="00DD4C3E">
              <w:t xml:space="preserve">м ², опирающейся </w:t>
            </w:r>
            <w:r w:rsidR="00927A70">
              <w:t>металлические перекладины сечением не менее 25х50 мм</w:t>
            </w:r>
            <w:r w:rsidRPr="00DD4C3E">
              <w:t xml:space="preserve">. 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DC2ED3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 xml:space="preserve"> 1500</w:t>
            </w:r>
            <w:r w:rsidR="00927A70">
              <w:rPr>
                <w:bCs/>
              </w:rPr>
              <w:t>, 2500, 4000 мм</w:t>
            </w:r>
          </w:p>
        </w:tc>
        <w:tc>
          <w:tcPr>
            <w:tcW w:w="5530" w:type="dxa"/>
          </w:tcPr>
          <w:p w:rsidR="00B801C4" w:rsidRPr="00E91D54" w:rsidRDefault="00DC2ED3" w:rsidP="00EA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927A70">
              <w:t xml:space="preserve">5 </w:t>
            </w:r>
            <w:r w:rsidR="00DD4C3E" w:rsidRPr="00DD4C3E">
              <w:t>шт. каркас должен быть выполнен из пр</w:t>
            </w:r>
            <w:r w:rsidR="00DD4C3E" w:rsidRPr="00DD4C3E">
              <w:t>о</w:t>
            </w:r>
            <w:r w:rsidR="00DD4C3E" w:rsidRPr="00DD4C3E">
              <w:t>фильн</w:t>
            </w:r>
            <w:r w:rsidR="00927A70">
              <w:t>ой трубы сечением не менее 50х50</w:t>
            </w:r>
            <w:r w:rsidR="00DD4C3E" w:rsidRPr="00DD4C3E">
              <w:t>х2</w:t>
            </w:r>
            <w:r w:rsidR="004D426A">
              <w:t xml:space="preserve"> </w:t>
            </w:r>
            <w:r w:rsidR="00DD4C3E" w:rsidRPr="00DD4C3E">
              <w:t>мм,</w:t>
            </w:r>
            <w:r w:rsidR="004D426A">
              <w:t xml:space="preserve"> </w:t>
            </w:r>
            <w:r w:rsidR="00DD4C3E" w:rsidRPr="00DD4C3E">
              <w:t>и</w:t>
            </w:r>
            <w:r w:rsidR="004D426A">
              <w:t xml:space="preserve"> </w:t>
            </w:r>
            <w:r w:rsidR="00DD4C3E" w:rsidRPr="00DD4C3E">
              <w:t>уто</w:t>
            </w:r>
            <w:r w:rsidR="00DD4C3E" w:rsidRPr="00DD4C3E">
              <w:t>п</w:t>
            </w:r>
            <w:r w:rsidR="00DD4C3E" w:rsidRPr="00DD4C3E">
              <w:t>лен в отфрезерованны</w:t>
            </w:r>
            <w:r w:rsidR="00927A70">
              <w:t>е</w:t>
            </w:r>
            <w:r w:rsidR="00DD4C3E" w:rsidRPr="00DD4C3E">
              <w:t xml:space="preserve"> паз</w:t>
            </w:r>
            <w:r w:rsidR="00927A70">
              <w:t>ы фанерных</w:t>
            </w:r>
            <w:r w:rsidR="00DD4C3E" w:rsidRPr="00DD4C3E">
              <w:t xml:space="preserve"> борт</w:t>
            </w:r>
            <w:r w:rsidR="00927A70">
              <w:t>ов</w:t>
            </w:r>
            <w:r w:rsidR="00DD4C3E" w:rsidRPr="00DD4C3E">
              <w:t xml:space="preserve"> по всей длине. Желоб должен быть изготовлен </w:t>
            </w:r>
            <w:r w:rsidR="00927A70">
              <w:t>струганного, хорошо отшлифованного бруса</w:t>
            </w:r>
            <w:r w:rsidR="00DD4C3E" w:rsidRPr="00DD4C3E">
              <w:t>. Борта горки выполн</w:t>
            </w:r>
            <w:r w:rsidR="00DD4C3E" w:rsidRPr="00DD4C3E">
              <w:t>е</w:t>
            </w:r>
            <w:r w:rsidR="00DD4C3E" w:rsidRPr="00DD4C3E">
              <w:t>ны из влагостойкой фан</w:t>
            </w:r>
            <w:r w:rsidR="00EA36D3">
              <w:t xml:space="preserve">еры марки ФСФ сорт не ниже 2/2 </w:t>
            </w:r>
            <w:r w:rsidR="00DD4C3E" w:rsidRPr="00DD4C3E">
              <w:t xml:space="preserve"> толщиной не менее 24</w:t>
            </w:r>
            <w:r w:rsidR="004D426A">
              <w:t xml:space="preserve"> </w:t>
            </w:r>
            <w:r w:rsidR="00927A70">
              <w:t>мм</w:t>
            </w:r>
            <w:r w:rsidR="00EA36D3">
              <w:t>,</w:t>
            </w:r>
            <w:r w:rsidR="00927A70">
              <w:t xml:space="preserve"> высотой не менее 290</w:t>
            </w:r>
            <w:r w:rsidR="004D426A">
              <w:t xml:space="preserve"> </w:t>
            </w:r>
            <w:r w:rsidR="00DD4C3E" w:rsidRPr="00DD4C3E">
              <w:t>мм</w:t>
            </w:r>
            <w:r w:rsidR="00927A70">
              <w:t xml:space="preserve">. </w:t>
            </w:r>
            <w:r w:rsidR="00DD4C3E" w:rsidRPr="00DD4C3E">
              <w:t>Боковые ограждения ската горки выполнены из влагостойкой фанеры марки ФСФ сорт не ниже 2/2</w:t>
            </w:r>
            <w:r w:rsidR="00EA36D3">
              <w:t xml:space="preserve">, </w:t>
            </w:r>
            <w:r w:rsidR="00DD4C3E" w:rsidRPr="00DD4C3E">
              <w:t xml:space="preserve">  толщиной не менее 24</w:t>
            </w:r>
            <w:r w:rsidR="004D426A">
              <w:t xml:space="preserve"> </w:t>
            </w:r>
            <w:r w:rsidR="00EA36D3">
              <w:t xml:space="preserve">мм, </w:t>
            </w:r>
            <w:r w:rsidR="00DD4C3E" w:rsidRPr="00DD4C3E">
              <w:t>высотой не менее 700мм</w:t>
            </w:r>
            <w:r w:rsidR="00927A70">
              <w:t>,</w:t>
            </w:r>
            <w:r w:rsidR="00DD4C3E" w:rsidRPr="00DD4C3E">
              <w:t xml:space="preserve"> </w:t>
            </w:r>
            <w:r w:rsidR="00EA36D3">
              <w:t xml:space="preserve"> </w:t>
            </w:r>
            <w:r w:rsidR="00DD4C3E" w:rsidRPr="00DD4C3E">
              <w:t>оборудован</w:t>
            </w:r>
            <w:r w:rsidR="00EA36D3">
              <w:t>ы</w:t>
            </w:r>
            <w:r w:rsidR="00DD4C3E" w:rsidRPr="00DD4C3E">
              <w:t xml:space="preserve"> пору</w:t>
            </w:r>
            <w:r w:rsidR="00163B70">
              <w:t xml:space="preserve">чнем ограничителем </w:t>
            </w:r>
            <w:r w:rsidR="00EA36D3">
              <w:t>на высоте</w:t>
            </w:r>
            <w:r w:rsidR="00163B70">
              <w:t xml:space="preserve"> не ме</w:t>
            </w:r>
            <w:r w:rsidR="00EA36D3">
              <w:t>нее 7</w:t>
            </w:r>
            <w:r w:rsidR="00927A70">
              <w:t>00</w:t>
            </w:r>
            <w:r w:rsidR="00EA36D3">
              <w:t xml:space="preserve"> </w:t>
            </w:r>
            <w:r w:rsidR="00DD4C3E" w:rsidRPr="00DD4C3E">
              <w:t>мм</w:t>
            </w:r>
            <w:r w:rsidR="00EA36D3">
              <w:t>.</w:t>
            </w:r>
            <w:r w:rsidR="00DD4C3E" w:rsidRPr="00DD4C3E">
              <w:t xml:space="preserve"> </w:t>
            </w:r>
            <w:r w:rsidR="00EA36D3">
              <w:t>П</w:t>
            </w:r>
            <w:r w:rsidR="00DD4C3E" w:rsidRPr="00DD4C3E">
              <w:t>оручень должен быть выполнен  из м</w:t>
            </w:r>
            <w:r w:rsidR="00DD4C3E" w:rsidRPr="00DD4C3E">
              <w:t>е</w:t>
            </w:r>
            <w:r w:rsidR="00DD4C3E" w:rsidRPr="00DD4C3E">
              <w:t>таллической трубы диаметром не менее 32</w:t>
            </w:r>
            <w:r w:rsidR="004D426A">
              <w:t xml:space="preserve"> </w:t>
            </w:r>
            <w:r w:rsidR="00DD4C3E" w:rsidRPr="00DD4C3E">
              <w:t>мм и толщ</w:t>
            </w:r>
            <w:r w:rsidR="00DD4C3E" w:rsidRPr="00DD4C3E">
              <w:t>и</w:t>
            </w:r>
            <w:r w:rsidR="00DD4C3E" w:rsidRPr="00DD4C3E">
              <w:t>ной стенки 3.5</w:t>
            </w:r>
            <w:r w:rsidR="004D426A">
              <w:t xml:space="preserve"> </w:t>
            </w:r>
            <w:r w:rsidR="00DD4C3E" w:rsidRPr="00DD4C3E">
              <w:t xml:space="preserve">мм с двумя штампованными ушками из </w:t>
            </w:r>
            <w:r w:rsidR="00DD4C3E" w:rsidRPr="00DD4C3E">
              <w:lastRenderedPageBreak/>
              <w:t>ст</w:t>
            </w:r>
            <w:r w:rsidR="00DD4C3E" w:rsidRPr="00DD4C3E">
              <w:t>а</w:t>
            </w:r>
            <w:r w:rsidR="00DD4C3E" w:rsidRPr="00DD4C3E">
              <w:t>ли не менее 4</w:t>
            </w:r>
            <w:r w:rsidR="004D426A">
              <w:t xml:space="preserve"> </w:t>
            </w:r>
            <w:r w:rsidR="00DD4C3E" w:rsidRPr="00DD4C3E">
              <w:t>мм, под 4 мебельных болта.</w:t>
            </w:r>
            <w:r w:rsidR="0012756E">
              <w:t xml:space="preserve"> Для опоры горки должны использоваться металлические опорные тумбы обшитые фанерой, и металлические опоры из трубы диаметром не менее 32 мм.</w:t>
            </w:r>
          </w:p>
        </w:tc>
      </w:tr>
      <w:tr w:rsidR="00927A70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27A70" w:rsidRPr="00E91D54" w:rsidRDefault="00927A7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27A70" w:rsidRPr="00E91D54" w:rsidRDefault="00927A7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27A70" w:rsidRPr="00E91D54" w:rsidRDefault="00927A7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27A70" w:rsidRPr="00E91D54" w:rsidRDefault="00927A7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927A70" w:rsidRPr="00E91D54" w:rsidRDefault="00927A70" w:rsidP="00927A70">
            <w:pPr>
              <w:snapToGrid w:val="0"/>
              <w:rPr>
                <w:bCs/>
              </w:rPr>
            </w:pPr>
            <w:r>
              <w:rPr>
                <w:bCs/>
              </w:rPr>
              <w:t>Крыша Пагода</w:t>
            </w:r>
          </w:p>
        </w:tc>
        <w:tc>
          <w:tcPr>
            <w:tcW w:w="5530" w:type="dxa"/>
          </w:tcPr>
          <w:p w:rsidR="00927A70" w:rsidRPr="00E91D54" w:rsidRDefault="00927A70" w:rsidP="00127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В кол-ве 2 шт. Конек  крыши должен быть выполнен </w:t>
            </w:r>
            <w:r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мм </w:t>
            </w:r>
            <w:r>
              <w:rPr>
                <w:color w:val="000000"/>
              </w:rPr>
              <w:t>и иметь форму пагоды. Скаты крыши выполнены из фанеры толщиной не менее 15мм и утоплены в пазы конька крыши и скрепляются между собой на оцинкованные уголки 40х40х2,5 мм не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нее32 шт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 xml:space="preserve"> </w:t>
            </w:r>
            <w:r w:rsidR="0012756E">
              <w:rPr>
                <w:color w:val="000000"/>
              </w:rPr>
              <w:t>трёх</w:t>
            </w:r>
            <w:r>
              <w:rPr>
                <w:color w:val="000000"/>
              </w:rPr>
              <w:t xml:space="preserve"> усиливающих элементов, выполненных из фанеры толщиной не менее 24 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927A70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9814FA">
              <w:rPr>
                <w:color w:val="000000"/>
              </w:rPr>
              <w:t xml:space="preserve"> </w:t>
            </w:r>
            <w:r w:rsidR="00927A70">
              <w:rPr>
                <w:color w:val="000000"/>
              </w:rPr>
              <w:t>150</w:t>
            </w:r>
            <w:r w:rsidR="009814FA">
              <w:rPr>
                <w:color w:val="000000"/>
              </w:rPr>
              <w:t>0</w:t>
            </w:r>
          </w:p>
        </w:tc>
        <w:tc>
          <w:tcPr>
            <w:tcW w:w="5530" w:type="dxa"/>
          </w:tcPr>
          <w:p w:rsidR="00B801C4" w:rsidRPr="00754ED9" w:rsidRDefault="009814FA" w:rsidP="00EA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6476A9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неры марки ФСФ сорт не ниже 2/2 и толщиной не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нее 24мм,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кладные детали из трубы сечением 50х25х2 мм, закрепленные на перилах и окрашенные порошковой пол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мерной краской зеленого цвета.</w:t>
            </w:r>
          </w:p>
        </w:tc>
      </w:tr>
      <w:tr w:rsidR="006476A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927A70">
              <w:rPr>
                <w:color w:val="000000"/>
              </w:rPr>
              <w:t xml:space="preserve"> 25</w:t>
            </w:r>
            <w:r>
              <w:rPr>
                <w:color w:val="000000"/>
              </w:rPr>
              <w:t>00</w:t>
            </w:r>
          </w:p>
          <w:p w:rsidR="006476A9" w:rsidRDefault="006476A9" w:rsidP="00B801C4">
            <w:pPr>
              <w:snapToGrid w:val="0"/>
              <w:rPr>
                <w:color w:val="000000"/>
              </w:rPr>
            </w:pPr>
          </w:p>
          <w:p w:rsidR="006476A9" w:rsidRPr="00754ED9" w:rsidRDefault="006476A9" w:rsidP="00B801C4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6476A9" w:rsidRPr="009814FA" w:rsidRDefault="00927A70" w:rsidP="001D6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6476A9"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</w:t>
            </w:r>
            <w:r w:rsidR="006476A9" w:rsidRPr="009814FA">
              <w:rPr>
                <w:color w:val="000000"/>
              </w:rPr>
              <w:t>и</w:t>
            </w:r>
            <w:r w:rsidR="006476A9" w:rsidRPr="009814FA">
              <w:rPr>
                <w:color w:val="000000"/>
              </w:rPr>
              <w:t xml:space="preserve">ной не менее 18 мм. Устанавливаться </w:t>
            </w:r>
            <w:r>
              <w:rPr>
                <w:color w:val="000000"/>
              </w:rPr>
              <w:t>на металлический каркас из трубы сечением не менее</w:t>
            </w:r>
            <w:r w:rsidR="001D610E">
              <w:rPr>
                <w:color w:val="000000"/>
              </w:rPr>
              <w:t xml:space="preserve"> 50х50 мм</w:t>
            </w:r>
            <w:r w:rsidR="006476A9" w:rsidRPr="009814FA">
              <w:rPr>
                <w:color w:val="000000"/>
              </w:rPr>
              <w:t>. Перила изготовлены из</w:t>
            </w:r>
            <w:r w:rsidR="001D610E">
              <w:rPr>
                <w:color w:val="000000"/>
              </w:rPr>
              <w:t xml:space="preserve"> бруса</w:t>
            </w:r>
            <w:r w:rsidR="006476A9" w:rsidRPr="009814FA">
              <w:rPr>
                <w:color w:val="000000"/>
              </w:rPr>
              <w:t xml:space="preserve"> </w:t>
            </w:r>
            <w:r w:rsidR="001D610E">
              <w:rPr>
                <w:color w:val="000000"/>
              </w:rPr>
              <w:t>сечением не менее 40х90 мм</w:t>
            </w:r>
            <w:r w:rsidR="006476A9">
              <w:rPr>
                <w:color w:val="000000"/>
              </w:rPr>
              <w:t>.</w:t>
            </w:r>
            <w:r w:rsidR="006476A9" w:rsidRPr="009814FA">
              <w:rPr>
                <w:color w:val="000000"/>
              </w:rPr>
              <w:t xml:space="preserve"> </w:t>
            </w:r>
          </w:p>
        </w:tc>
      </w:tr>
      <w:tr w:rsidR="00B801C4" w:rsidTr="001D610E">
        <w:trPr>
          <w:trHeight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9814FA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B801C4" w:rsidRPr="008E55BB" w:rsidRDefault="009814FA" w:rsidP="001D610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1D610E">
              <w:rPr>
                <w:color w:val="000000"/>
              </w:rPr>
              <w:t>9</w:t>
            </w:r>
            <w:r w:rsidRPr="009814FA">
              <w:rPr>
                <w:color w:val="000000"/>
              </w:rPr>
              <w:t xml:space="preserve">шт. </w:t>
            </w:r>
            <w:r w:rsidR="001D610E">
              <w:rPr>
                <w:color w:val="000000"/>
              </w:rPr>
              <w:t>выполненные из трубы диаметром не м</w:t>
            </w:r>
            <w:r w:rsidR="001D610E">
              <w:rPr>
                <w:color w:val="000000"/>
              </w:rPr>
              <w:t>е</w:t>
            </w:r>
            <w:r w:rsidR="001D610E">
              <w:rPr>
                <w:color w:val="000000"/>
              </w:rPr>
              <w:t xml:space="preserve">нее 32 мм </w:t>
            </w:r>
          </w:p>
        </w:tc>
      </w:tr>
      <w:tr w:rsidR="00F51622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77"/>
            <w:bookmarkStart w:id="5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51622" w:rsidRPr="00552F34" w:rsidRDefault="009814FA" w:rsidP="000925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09258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EA36D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EA36D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185469" w:rsidTr="004D426A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  <w:bookmarkStart w:id="6" w:name="OLE_LINK365"/>
            <w:bookmarkStart w:id="7" w:name="OLE_LINK366"/>
            <w:bookmarkEnd w:id="4"/>
            <w:bookmarkEnd w:id="5"/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185469" w:rsidRPr="00754ED9" w:rsidRDefault="00185469" w:rsidP="001854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1D610E">
              <w:rPr>
                <w:color w:val="000000"/>
              </w:rPr>
              <w:t xml:space="preserve"> фанерное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185469" w:rsidRPr="00754ED9" w:rsidRDefault="00185469" w:rsidP="001D610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</w:t>
            </w:r>
            <w:r w:rsidR="001D610E">
              <w:rPr>
                <w:color w:val="000000"/>
              </w:rPr>
              <w:t>18</w:t>
            </w:r>
            <w:r>
              <w:rPr>
                <w:color w:val="000000"/>
              </w:rPr>
              <w:t xml:space="preserve"> шт. должно быть выполнено</w:t>
            </w:r>
            <w:r w:rsidRPr="00A86472">
              <w:rPr>
                <w:color w:val="000000"/>
              </w:rPr>
              <w:t xml:space="preserve"> из влагосто</w:t>
            </w:r>
            <w:r w:rsidRPr="00A86472">
              <w:rPr>
                <w:color w:val="000000"/>
              </w:rPr>
              <w:t>й</w:t>
            </w:r>
            <w:r w:rsidRPr="00A86472">
              <w:rPr>
                <w:color w:val="000000"/>
              </w:rPr>
              <w:t>кой фанеры марки ФСФ сорт не ниже 2/2 и толщиной не менее 2</w:t>
            </w:r>
            <w:r w:rsidR="001D610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 xml:space="preserve">мм и иметь </w:t>
            </w:r>
            <w:r>
              <w:rPr>
                <w:color w:val="000000"/>
              </w:rPr>
              <w:t xml:space="preserve">декоративные </w:t>
            </w:r>
            <w:r w:rsidRPr="00A86472">
              <w:rPr>
                <w:color w:val="000000"/>
              </w:rPr>
              <w:t>вырез</w:t>
            </w:r>
            <w:r w:rsidR="001D610E">
              <w:rPr>
                <w:color w:val="000000"/>
              </w:rPr>
              <w:t>ы и накла</w:t>
            </w:r>
            <w:r w:rsidR="001D610E">
              <w:rPr>
                <w:color w:val="000000"/>
              </w:rPr>
              <w:t>д</w:t>
            </w:r>
            <w:r w:rsidR="001D610E">
              <w:rPr>
                <w:color w:val="000000"/>
              </w:rPr>
              <w:t>ки.</w:t>
            </w:r>
          </w:p>
        </w:tc>
      </w:tr>
      <w:tr w:rsidR="001D610E" w:rsidRPr="00950839" w:rsidTr="001D6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D610E" w:rsidRPr="00E91D54" w:rsidRDefault="001D610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D610E" w:rsidRPr="00E91D54" w:rsidRDefault="001D610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D610E" w:rsidRPr="00E91D54" w:rsidRDefault="001D610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D610E" w:rsidRPr="00E91D54" w:rsidRDefault="001D610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nil"/>
              <w:right w:val="single" w:sz="4" w:space="0" w:color="auto"/>
            </w:tcBorders>
          </w:tcPr>
          <w:p w:rsidR="001D610E" w:rsidRDefault="001D610E" w:rsidP="001D61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Рукоход</w:t>
            </w:r>
          </w:p>
          <w:p w:rsidR="001D610E" w:rsidRDefault="001D610E" w:rsidP="001D61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610E" w:rsidRDefault="001D610E" w:rsidP="001D61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610E" w:rsidRDefault="001D610E" w:rsidP="001D61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1D610E" w:rsidRDefault="001D610E" w:rsidP="001D610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должен быть выполнен  из металлической трубы диметром не менее 32мм и толщиной стенки 3.5мм</w:t>
            </w:r>
            <w:r w:rsidR="00EA36D3">
              <w:rPr>
                <w:color w:val="000000"/>
              </w:rPr>
              <w:t xml:space="preserve"> и иметь четыре ребра жесткости </w:t>
            </w:r>
            <w:r>
              <w:t>с четырьмя</w:t>
            </w:r>
            <w:r w:rsidRPr="002832D9">
              <w:t xml:space="preserve"> штампован</w:t>
            </w:r>
            <w:r>
              <w:t>ными ушками</w:t>
            </w:r>
            <w:r w:rsidR="00EA36D3">
              <w:t>,</w:t>
            </w:r>
            <w:r>
              <w:t xml:space="preserve"> </w:t>
            </w:r>
            <w:r w:rsidRPr="00F83544">
              <w:t>выполненными из листовой стали толщин</w:t>
            </w:r>
            <w:r>
              <w:t>ой не менее 4мм, под 8 саморезов.</w:t>
            </w:r>
          </w:p>
        </w:tc>
      </w:tr>
      <w:bookmarkEnd w:id="6"/>
      <w:bookmarkEnd w:id="7"/>
      <w:tr w:rsidR="004D426A" w:rsidRPr="00E5065E" w:rsidTr="00185469">
        <w:trPr>
          <w:trHeight w:val="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185469">
            <w:pPr>
              <w:snapToGrid w:val="0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185469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1D610E" w:rsidP="00093104">
            <w:r>
              <w:rPr>
                <w:sz w:val="27"/>
                <w:szCs w:val="27"/>
              </w:rPr>
              <w:t>Лестница переход</w:t>
            </w:r>
          </w:p>
        </w:tc>
        <w:tc>
          <w:tcPr>
            <w:tcW w:w="5530" w:type="dxa"/>
          </w:tcPr>
          <w:p w:rsidR="00CA0AD6" w:rsidRPr="00E91D54" w:rsidRDefault="001D610E" w:rsidP="00127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1</w:t>
            </w:r>
            <w:r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 xml:space="preserve">ной не менее 18 мм. Устанавливаться </w:t>
            </w:r>
            <w:r>
              <w:rPr>
                <w:color w:val="000000"/>
              </w:rPr>
              <w:t>на металлический каркас из трубы сечением не менее 50х50 мм</w:t>
            </w:r>
            <w:r w:rsidRPr="009814FA">
              <w:rPr>
                <w:color w:val="000000"/>
              </w:rPr>
              <w:t>. Перила изготовлены из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>. Навес</w:t>
            </w:r>
            <w:r w:rsidR="0012756E">
              <w:rPr>
                <w:color w:val="000000"/>
              </w:rPr>
              <w:t xml:space="preserve"> перех</w:t>
            </w:r>
            <w:r w:rsidR="0012756E">
              <w:rPr>
                <w:color w:val="000000"/>
              </w:rPr>
              <w:t>о</w:t>
            </w:r>
            <w:r w:rsidR="0012756E">
              <w:rPr>
                <w:color w:val="000000"/>
              </w:rPr>
              <w:t>да</w:t>
            </w:r>
            <w:r>
              <w:rPr>
                <w:color w:val="000000"/>
              </w:rPr>
              <w:t xml:space="preserve"> состо</w:t>
            </w:r>
            <w:r w:rsidR="0012756E">
              <w:rPr>
                <w:color w:val="000000"/>
              </w:rPr>
              <w:t>ит</w:t>
            </w:r>
            <w:r>
              <w:rPr>
                <w:color w:val="000000"/>
              </w:rPr>
              <w:t xml:space="preserve"> из каркаса и крыш</w:t>
            </w:r>
            <w:r w:rsidR="0012756E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навеса.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1622">
            <w:r>
              <w:t>Перекладин</w:t>
            </w:r>
            <w:r w:rsidR="0012756E">
              <w:t>ы</w:t>
            </w:r>
          </w:p>
        </w:tc>
        <w:tc>
          <w:tcPr>
            <w:tcW w:w="5530" w:type="dxa"/>
          </w:tcPr>
          <w:p w:rsidR="00CA0AD6" w:rsidRPr="00CA0AD6" w:rsidRDefault="00CA0AD6" w:rsidP="001D6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1D610E">
              <w:t>21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EA36D3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12756E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2756E" w:rsidRPr="00E91D54" w:rsidRDefault="0012756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2756E" w:rsidRPr="00E91D54" w:rsidRDefault="0012756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2756E" w:rsidRPr="00E91D54" w:rsidRDefault="0012756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2756E" w:rsidRPr="00E91D54" w:rsidRDefault="0012756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2756E" w:rsidRDefault="0012756E" w:rsidP="0012756E">
            <w:r>
              <w:t>Альпинистская стенка</w:t>
            </w:r>
          </w:p>
        </w:tc>
        <w:tc>
          <w:tcPr>
            <w:tcW w:w="5530" w:type="dxa"/>
          </w:tcPr>
          <w:p w:rsidR="0012756E" w:rsidRPr="004C4F88" w:rsidRDefault="0012756E" w:rsidP="00127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185469" w:rsidTr="004D426A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185469" w:rsidRDefault="00185469" w:rsidP="00B35B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12756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шт.</w:t>
            </w:r>
            <w:r w:rsidR="00EA36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пиленовый диаметр не менее 30мм бетонируется в зе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лю.</w:t>
            </w:r>
          </w:p>
        </w:tc>
      </w:tr>
      <w:tr w:rsidR="0012756E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2756E" w:rsidRPr="00E91D54" w:rsidRDefault="0012756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2756E" w:rsidRPr="00E91D54" w:rsidRDefault="0012756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2756E" w:rsidRPr="00E91D54" w:rsidRDefault="0012756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2756E" w:rsidRPr="00E91D54" w:rsidRDefault="0012756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2756E" w:rsidRDefault="0012756E" w:rsidP="0012756E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>
              <w:rPr>
                <w:color w:val="000000"/>
              </w:rPr>
              <w:t>наклонная высота для площадки 15</w:t>
            </w:r>
            <w:r w:rsidRPr="009814FA">
              <w:rPr>
                <w:color w:val="000000"/>
              </w:rPr>
              <w:t>00мм</w:t>
            </w: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Default="0012756E" w:rsidP="0012756E">
            <w:pPr>
              <w:snapToGrid w:val="0"/>
              <w:rPr>
                <w:color w:val="000000"/>
              </w:rPr>
            </w:pPr>
          </w:p>
          <w:p w:rsidR="0012756E" w:rsidRPr="00552F34" w:rsidRDefault="0012756E" w:rsidP="0012756E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12756E" w:rsidRPr="00552F34" w:rsidRDefault="0012756E" w:rsidP="0012756E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шт.</w:t>
            </w:r>
            <w:r w:rsidR="00EA36D3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 w:rsidR="00EA36D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12756E" w:rsidTr="004D426A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2756E" w:rsidRPr="00E91D54" w:rsidRDefault="0012756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2756E" w:rsidRPr="00E91D54" w:rsidRDefault="0012756E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2756E" w:rsidRPr="00E91D54" w:rsidRDefault="0012756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2756E" w:rsidRPr="00E91D54" w:rsidRDefault="0012756E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2756E" w:rsidRDefault="0012756E" w:rsidP="0012756E">
            <w:r>
              <w:t>Ограждение с лазом</w:t>
            </w:r>
          </w:p>
        </w:tc>
        <w:tc>
          <w:tcPr>
            <w:tcW w:w="5530" w:type="dxa"/>
          </w:tcPr>
          <w:p w:rsidR="0012756E" w:rsidRDefault="0012756E" w:rsidP="00EA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</w:t>
            </w:r>
            <w:r w:rsidR="00EA36D3">
              <w:t>о быть выполнено</w:t>
            </w:r>
            <w:r w:rsidRPr="004C4F88">
              <w:t xml:space="preserve"> из влагостойкой </w:t>
            </w:r>
            <w:r w:rsidR="00EA36D3">
              <w:t>ф</w:t>
            </w:r>
            <w:r w:rsidRPr="004C4F88">
              <w:t>анеры марки ФСФ сорт не ниже 2/2 и толщиной не м</w:t>
            </w:r>
            <w:r w:rsidRPr="004C4F88">
              <w:t>е</w:t>
            </w:r>
            <w:r w:rsidRPr="004C4F88">
              <w:t>нее 21мм и иметь вырез для лазания.</w:t>
            </w:r>
          </w:p>
        </w:tc>
      </w:tr>
      <w:tr w:rsidR="00B35BF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35BF3" w:rsidRPr="00E91D54" w:rsidRDefault="00B35BF3" w:rsidP="00D178CA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B35BF3" w:rsidRPr="00E91D54" w:rsidRDefault="00B35BF3" w:rsidP="00D178C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EA3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6407D8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EA36D3">
              <w:t xml:space="preserve"> </w:t>
            </w:r>
            <w:bookmarkStart w:id="8" w:name="_GoBack"/>
            <w:bookmarkEnd w:id="8"/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515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</w:t>
            </w:r>
            <w:r w:rsidR="0012756E">
              <w:t>двух</w:t>
            </w:r>
            <w:r w:rsidR="00076607">
              <w:t xml:space="preserve"> </w:t>
            </w:r>
            <w:r>
              <w:t>башен</w:t>
            </w:r>
            <w:r w:rsidR="0012756E">
              <w:t xml:space="preserve"> с разновысокими площадками</w:t>
            </w:r>
            <w:r w:rsidR="00044FDF">
              <w:t>.</w:t>
            </w:r>
            <w:r>
              <w:t xml:space="preserve"> </w:t>
            </w:r>
            <w:r w:rsidR="00044FDF">
              <w:t>Н</w:t>
            </w:r>
            <w:r>
              <w:t xml:space="preserve">а </w:t>
            </w:r>
            <w:r w:rsidR="00044FDF">
              <w:t>башнях установлены</w:t>
            </w:r>
            <w:r>
              <w:t xml:space="preserve"> крыш</w:t>
            </w:r>
            <w:r w:rsidR="0012756E">
              <w:t>и</w:t>
            </w:r>
            <w:r w:rsidR="00044FDF">
              <w:t xml:space="preserve"> </w:t>
            </w:r>
            <w:r w:rsidR="00B35BF3">
              <w:t>пагод</w:t>
            </w:r>
            <w:r w:rsidR="0012756E">
              <w:t>ы</w:t>
            </w:r>
            <w:r>
              <w:t>. На первой башн</w:t>
            </w:r>
            <w:r w:rsidR="004D426A">
              <w:t>е</w:t>
            </w:r>
            <w:r w:rsidR="00B35BF3">
              <w:t xml:space="preserve"> установлены</w:t>
            </w:r>
            <w:r w:rsidR="0012756E">
              <w:t xml:space="preserve"> три</w:t>
            </w:r>
            <w:r w:rsidR="00B35BF3">
              <w:t xml:space="preserve"> г</w:t>
            </w:r>
            <w:r>
              <w:t>о</w:t>
            </w:r>
            <w:r>
              <w:t>р</w:t>
            </w:r>
            <w:r>
              <w:t>к</w:t>
            </w:r>
            <w:r w:rsidR="0012756E">
              <w:t>и</w:t>
            </w:r>
            <w:r w:rsidR="00B35BF3">
              <w:t xml:space="preserve">, </w:t>
            </w:r>
            <w:r w:rsidR="0012756E">
              <w:t>шведская стенка, ограждения металлические и ф</w:t>
            </w:r>
            <w:r w:rsidR="0012756E">
              <w:t>а</w:t>
            </w:r>
            <w:r w:rsidR="0012756E">
              <w:t>нерные, альпинистская стенка с перекладиной и кан</w:t>
            </w:r>
            <w:r w:rsidR="0012756E">
              <w:t>а</w:t>
            </w:r>
            <w:r w:rsidR="0012756E">
              <w:t>том, спираль наклонная, шест спираль и лестница</w:t>
            </w:r>
            <w:r w:rsidR="00D178CA">
              <w:t>.</w:t>
            </w:r>
            <w:r w:rsidR="005157D7">
              <w:t xml:space="preserve"> На второй башне установлены две горки, шведские стенки, ограждения фанерные и металлические, лестница. </w:t>
            </w:r>
            <w:r w:rsidR="00076607">
              <w:t xml:space="preserve"> </w:t>
            </w:r>
            <w:r w:rsidR="005157D7">
              <w:t>Б</w:t>
            </w:r>
            <w:r w:rsidR="00D178CA">
              <w:t>ашни соедине</w:t>
            </w:r>
            <w:r w:rsidR="005157D7">
              <w:t>ны рукоходом, и мостом переходом с навесом</w:t>
            </w:r>
            <w:r w:rsidR="00D178CA">
              <w:t>.</w:t>
            </w:r>
            <w:r w:rsidR="00044FDF">
              <w:t xml:space="preserve"> </w:t>
            </w:r>
            <w:r>
              <w:t>Все резьбовые соединения должны быть з</w:t>
            </w:r>
            <w:r>
              <w:t>а</w:t>
            </w:r>
            <w:r>
              <w:t>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19" w:rsidRDefault="00A50F19" w:rsidP="00D74A8E">
      <w:r>
        <w:separator/>
      </w:r>
    </w:p>
  </w:endnote>
  <w:endnote w:type="continuationSeparator" w:id="0">
    <w:p w:rsidR="00A50F19" w:rsidRDefault="00A50F1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19" w:rsidRDefault="00A50F19" w:rsidP="00D74A8E">
      <w:r>
        <w:separator/>
      </w:r>
    </w:p>
  </w:footnote>
  <w:footnote w:type="continuationSeparator" w:id="0">
    <w:p w:rsidR="00A50F19" w:rsidRDefault="00A50F1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2756E"/>
    <w:rsid w:val="0013027A"/>
    <w:rsid w:val="00130ABC"/>
    <w:rsid w:val="00132645"/>
    <w:rsid w:val="001427EC"/>
    <w:rsid w:val="00142BED"/>
    <w:rsid w:val="00144C2B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10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157D7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D4BF6"/>
    <w:rsid w:val="005E13BB"/>
    <w:rsid w:val="005E54D6"/>
    <w:rsid w:val="005F2EA7"/>
    <w:rsid w:val="00606B14"/>
    <w:rsid w:val="006407D8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27A70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0F19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5BF3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8CA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A5147"/>
    <w:rsid w:val="00DB354C"/>
    <w:rsid w:val="00DB7D49"/>
    <w:rsid w:val="00DC2ED3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A36D3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3E3B-D791-4430-9459-6BBBBD82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2013-10-18T01:00:00Z</dcterms:created>
  <dcterms:modified xsi:type="dcterms:W3CDTF">2014-10-24T12:07:00Z</dcterms:modified>
</cp:coreProperties>
</file>